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venir" w:cs="Avenir" w:eastAsia="Avenir" w:hAnsi="Avenir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Ind w:w="-108.0" w:type="dxa"/>
        <w:tblBorders>
          <w:top w:color="a3d0e1" w:space="0" w:sz="4" w:val="single"/>
          <w:left w:color="a3d0e1" w:space="0" w:sz="4" w:val="single"/>
          <w:bottom w:color="a3d0e1" w:space="0" w:sz="4" w:val="single"/>
          <w:right w:color="a3d0e1" w:space="0" w:sz="4" w:val="single"/>
          <w:insideH w:color="a3d0e1" w:space="0" w:sz="4" w:val="single"/>
          <w:insideV w:color="000000" w:space="0" w:sz="4" w:val="single"/>
        </w:tblBorders>
        <w:tblLayout w:type="fixed"/>
        <w:tblLook w:val="0400"/>
      </w:tblPr>
      <w:tblGrid>
        <w:gridCol w:w="2325"/>
        <w:gridCol w:w="8250"/>
        <w:tblGridChange w:id="0">
          <w:tblGrid>
            <w:gridCol w:w="2325"/>
            <w:gridCol w:w="825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64206b" w:space="0" w:sz="4" w:val="single"/>
              <w:left w:color="64206b" w:space="0" w:sz="4" w:val="single"/>
              <w:bottom w:color="64206b" w:space="0" w:sz="4" w:val="single"/>
              <w:right w:color="64206b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before="80" w:lineRule="auto"/>
              <w:jc w:val="center"/>
              <w:rPr/>
            </w:pPr>
            <w:r w:rsidDel="00000000" w:rsidR="00000000" w:rsidRPr="00000000">
              <w:rPr>
                <w:b w:val="1"/>
                <w:sz w:val="36"/>
                <w:szCs w:val="36"/>
              </w:rPr>
              <w:drawing>
                <wp:inline distB="114300" distT="114300" distL="114300" distR="114300">
                  <wp:extent cx="1038225" cy="14351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43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64206b" w:space="0" w:sz="4" w:val="single"/>
              <w:left w:color="64206b" w:space="0" w:sz="4" w:val="single"/>
              <w:bottom w:color="64206b" w:space="0" w:sz="4" w:val="single"/>
              <w:right w:color="64206b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color w:val="64206b"/>
                <w:sz w:val="40"/>
                <w:szCs w:val="40"/>
              </w:rPr>
            </w:pPr>
            <w:r w:rsidDel="00000000" w:rsidR="00000000" w:rsidRPr="00000000">
              <w:rPr>
                <w:color w:val="64206b"/>
                <w:sz w:val="40"/>
                <w:szCs w:val="40"/>
                <w:rtl w:val="0"/>
              </w:rPr>
              <w:t xml:space="preserve">Demande de configuration</w:t>
            </w:r>
          </w:p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color w:val="64206b"/>
                <w:sz w:val="40"/>
                <w:szCs w:val="40"/>
              </w:rPr>
            </w:pPr>
            <w:r w:rsidDel="00000000" w:rsidR="00000000" w:rsidRPr="00000000">
              <w:rPr>
                <w:color w:val="64206b"/>
                <w:sz w:val="40"/>
                <w:szCs w:val="40"/>
                <w:rtl w:val="0"/>
              </w:rPr>
              <w:t xml:space="preserve">Connecteur Sellsy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continue"/>
            <w:tcBorders>
              <w:top w:color="64206b" w:space="0" w:sz="4" w:val="single"/>
              <w:left w:color="64206b" w:space="0" w:sz="4" w:val="single"/>
              <w:bottom w:color="64206b" w:space="0" w:sz="4" w:val="single"/>
              <w:right w:color="64206b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64206b" w:space="0" w:sz="4" w:val="single"/>
              <w:left w:color="64206b" w:space="0" w:sz="4" w:val="single"/>
              <w:bottom w:color="64206b" w:space="0" w:sz="4" w:val="single"/>
              <w:right w:color="64206b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spacing w:before="200" w:lineRule="auto"/>
        <w:ind w:left="0" w:firstLine="0"/>
        <w:rPr/>
      </w:pPr>
      <w:r w:rsidDel="00000000" w:rsidR="00000000" w:rsidRPr="00000000">
        <w:rPr>
          <w:shd w:fill="d9d9d9" w:val="clear"/>
          <w:rtl w:val="0"/>
        </w:rPr>
        <w:t xml:space="preserve">    </w:t>
      </w:r>
      <w:r w:rsidDel="00000000" w:rsidR="00000000" w:rsidRPr="00000000">
        <w:rPr>
          <w:rtl w:val="0"/>
        </w:rPr>
        <w:t xml:space="preserve"> : prière de ne rien modifier ; </w:t>
      </w:r>
      <w:r w:rsidDel="00000000" w:rsidR="00000000" w:rsidRPr="00000000">
        <w:rPr>
          <w:shd w:fill="f3f3f3" w:val="clear"/>
          <w:rtl w:val="0"/>
        </w:rPr>
        <w:t xml:space="preserve">    </w:t>
      </w:r>
      <w:r w:rsidDel="00000000" w:rsidR="00000000" w:rsidRPr="00000000">
        <w:rPr>
          <w:rtl w:val="0"/>
        </w:rPr>
        <w:t xml:space="preserve"> : champs à compléter</w:t>
      </w: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6600"/>
        <w:tblGridChange w:id="0">
          <w:tblGrid>
            <w:gridCol w:w="3840"/>
            <w:gridCol w:w="660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Environnement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Référent intégration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th44a9pagbcp" w:id="0"/>
      <w:bookmarkEnd w:id="0"/>
      <w:r w:rsidDel="00000000" w:rsidR="00000000" w:rsidRPr="00000000">
        <w:rPr>
          <w:rtl w:val="0"/>
        </w:rPr>
        <w:t xml:space="preserve">Paramètres généraux</w:t>
      </w:r>
    </w:p>
    <w:tbl>
      <w:tblPr>
        <w:tblStyle w:val="Table3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55"/>
        <w:gridCol w:w="5385"/>
        <w:tblGridChange w:id="0">
          <w:tblGrid>
            <w:gridCol w:w="5055"/>
            <w:gridCol w:w="53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Utilisateur de référence sur Altior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 de l’établissement sur Altior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left"/>
              <w:rPr>
                <w:color w:val="64206b"/>
              </w:rPr>
            </w:pPr>
            <w:r w:rsidDel="00000000" w:rsidR="00000000" w:rsidRPr="00000000">
              <w:rPr>
                <w:i w:val="1"/>
                <w:color w:val="64206b"/>
                <w:rtl w:val="0"/>
              </w:rPr>
              <w:t xml:space="preserve">NB technique : </w:t>
            </w:r>
            <w:r w:rsidDel="00000000" w:rsidR="00000000" w:rsidRPr="00000000">
              <w:rPr>
                <w:color w:val="64206b"/>
                <w:rtl w:val="0"/>
              </w:rPr>
              <w:t xml:space="preserve">Codification pour le stockage de la référence externe (sur Altior)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clé: “EXTERNAL”, key: “SELLSY”, name: “Sellsy”</w:t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>
          <w:b w:val="1"/>
          <w:color w:val="903163"/>
          <w:sz w:val="28"/>
          <w:szCs w:val="28"/>
        </w:rPr>
      </w:pPr>
      <w:bookmarkStart w:colFirst="0" w:colLast="0" w:name="_15ulvde86p4i" w:id="1"/>
      <w:bookmarkEnd w:id="1"/>
      <w:r w:rsidDel="00000000" w:rsidR="00000000" w:rsidRPr="00000000">
        <w:rPr>
          <w:rtl w:val="0"/>
        </w:rPr>
        <w:t xml:space="preserve">Connexion Sellsy</w:t>
      </w:r>
      <w:r w:rsidDel="00000000" w:rsidR="00000000" w:rsidRPr="00000000">
        <w:rPr>
          <w:rtl w:val="0"/>
        </w:rPr>
      </w:r>
    </w:p>
    <w:tbl>
      <w:tblPr>
        <w:tblStyle w:val="Table4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5"/>
        <w:gridCol w:w="5925"/>
        <w:tblGridChange w:id="0">
          <w:tblGrid>
            <w:gridCol w:w="451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 du compte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API V2 - Client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API V2 - Client secret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/>
      </w:pPr>
      <w:bookmarkStart w:colFirst="0" w:colLast="0" w:name="_wa3lq4u6nlo" w:id="2"/>
      <w:bookmarkEnd w:id="2"/>
      <w:r w:rsidDel="00000000" w:rsidR="00000000" w:rsidRPr="00000000">
        <w:rPr>
          <w:rtl w:val="0"/>
        </w:rPr>
        <w:t xml:space="preserve">Paramètres pour synchronisation des tiers</w:t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llgkaejjjun6" w:id="3"/>
      <w:bookmarkEnd w:id="3"/>
      <w:r w:rsidDel="00000000" w:rsidR="00000000" w:rsidRPr="00000000">
        <w:rPr>
          <w:rtl w:val="0"/>
        </w:rPr>
        <w:t xml:space="preserve">Champs personnalisés</w:t>
      </w:r>
    </w:p>
    <w:tbl>
      <w:tblPr>
        <w:tblStyle w:val="Table5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10"/>
        <w:gridCol w:w="4230"/>
        <w:tblGridChange w:id="0">
          <w:tblGrid>
            <w:gridCol w:w="6210"/>
            <w:gridCol w:w="423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Flux à activer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Export des tiers Altior -&gt; Sellsy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Import des tiers Sellsy -&gt; Altior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Filtrer la descente des tiers dans Altior avec le champ personnalisé Sellsy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Oui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oui, nom ou code du champ personnalisé de filtrage des tiers sur Sellsy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Synchronisation Altior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Filtrer la descente des contact (non reliés à des tiers) dans Altior avec le champ personnalisé Sellsy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Oui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oui, nom ou code du champ personnalisé de filtrage des contacts sur Sellsy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Synchronisation Altior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ay9oniybiwal" w:id="4"/>
      <w:bookmarkEnd w:id="4"/>
      <w:r w:rsidDel="00000000" w:rsidR="00000000" w:rsidRPr="00000000">
        <w:rPr>
          <w:rtl w:val="0"/>
        </w:rPr>
        <w:t xml:space="preserve">Initialisation</w:t>
      </w:r>
    </w:p>
    <w:tbl>
      <w:tblPr>
        <w:tblStyle w:val="Table6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5"/>
        <w:gridCol w:w="3465"/>
        <w:tblGridChange w:id="0">
          <w:tblGrid>
            <w:gridCol w:w="6975"/>
            <w:gridCol w:w="346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left"/>
              <w:rPr>
                <w:color w:val="64206b"/>
              </w:rPr>
            </w:pPr>
            <w:r w:rsidDel="00000000" w:rsidR="00000000" w:rsidRPr="00000000">
              <w:rPr>
                <w:rtl w:val="0"/>
              </w:rPr>
              <w:t xml:space="preserve">Initialisation : un export des tiers Altior doit-il être fait vers Sellsy ?</w:t>
              <w:br w:type="textWrapping"/>
            </w:r>
            <w:r w:rsidDel="00000000" w:rsidR="00000000" w:rsidRPr="00000000">
              <w:rPr>
                <w:i w:val="1"/>
                <w:color w:val="64206b"/>
                <w:rtl w:val="0"/>
              </w:rPr>
              <w:t xml:space="preserve">NB technique : si oui le job “thirdPartyAll” doit être activé (valeur par défaut), sinon il doit être désactivé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jc w:val="left"/>
              <w:rPr>
                <w:color w:val="64206b"/>
              </w:rPr>
            </w:pPr>
            <w:r w:rsidDel="00000000" w:rsidR="00000000" w:rsidRPr="00000000">
              <w:rPr>
                <w:rtl w:val="0"/>
              </w:rPr>
              <w:t xml:space="preserve">Initialisation : un import des tiers Sellsy doit-il être fait vers Altior ?</w:t>
              <w:br w:type="textWrapping"/>
            </w:r>
            <w:r w:rsidDel="00000000" w:rsidR="00000000" w:rsidRPr="00000000">
              <w:rPr>
                <w:i w:val="1"/>
                <w:color w:val="64206b"/>
                <w:rtl w:val="0"/>
              </w:rPr>
              <w:t xml:space="preserve">NB technique : si oui le job “thirdPartyAll” doit être activé (valeur par défaut), sinon il doit être désactivé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Initialisation : un rapprochement sur le SIRET doit-il être fait avec import / export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Style w:val="Heading2"/>
        <w:rPr/>
      </w:pPr>
      <w:bookmarkStart w:colFirst="0" w:colLast="0" w:name="_gnp4yol48883" w:id="5"/>
      <w:bookmarkEnd w:id="5"/>
      <w:r w:rsidDel="00000000" w:rsidR="00000000" w:rsidRPr="00000000">
        <w:rPr>
          <w:rtl w:val="0"/>
        </w:rPr>
        <w:t xml:space="preserve">Mapping des informations</w:t>
      </w:r>
    </w:p>
    <w:tbl>
      <w:tblPr>
        <w:tblStyle w:val="Table7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5"/>
        <w:gridCol w:w="5055"/>
        <w:tblGridChange w:id="0">
          <w:tblGrid>
            <w:gridCol w:w="5385"/>
            <w:gridCol w:w="50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 du type de mail Altior pour “email”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Principal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Civilité Altior pour “Mr”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Civilité Altior pour “Ms”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Mme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Type téléphone Altior pour “téléphone”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Fixe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Type téléphone Altior pour “fax”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Type téléphone Altior pour “mobile”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Portable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Type URL Altior pour “site web”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Site web</w:t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rPr/>
      </w:pPr>
      <w:bookmarkStart w:colFirst="0" w:colLast="0" w:name="_g8ebz2w75fxs" w:id="6"/>
      <w:bookmarkEnd w:id="6"/>
      <w:r w:rsidDel="00000000" w:rsidR="00000000" w:rsidRPr="00000000">
        <w:rPr>
          <w:rtl w:val="0"/>
        </w:rPr>
        <w:t xml:space="preserve">Paramètres pour synchronisation des affaires</w:t>
      </w:r>
    </w:p>
    <w:tbl>
      <w:tblPr>
        <w:tblStyle w:val="Table8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5"/>
        <w:gridCol w:w="5055"/>
        <w:tblGridChange w:id="0">
          <w:tblGrid>
            <w:gridCol w:w="5385"/>
            <w:gridCol w:w="50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Flux à activer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Export des affaires Altior -&gt; Sellsy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Import des opportunités Sellsy -&gt; Altior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Filtrer la descente des opportunités dans Altior avec le champ personnalisé Sellsy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oui, nom du champ personnalisé de filtrage des opportunités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 du champ personnalisé de stockage du nom du pipeline Sellsy dans Altior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Workflow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 du champ personnalisé de stockage du nom de l’étape du pipeline Sellsy dans Altior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Etape</w:t>
            </w:r>
          </w:p>
        </w:tc>
      </w:tr>
    </w:tbl>
    <w:p w:rsidR="00000000" w:rsidDel="00000000" w:rsidP="00000000" w:rsidRDefault="00000000" w:rsidRPr="00000000" w14:paraId="00000051">
      <w:pPr>
        <w:pStyle w:val="Heading2"/>
        <w:rPr/>
      </w:pPr>
      <w:bookmarkStart w:colFirst="0" w:colLast="0" w:name="_idouvpxx0t2n" w:id="7"/>
      <w:bookmarkEnd w:id="7"/>
      <w:r w:rsidDel="00000000" w:rsidR="00000000" w:rsidRPr="00000000">
        <w:rPr>
          <w:rtl w:val="0"/>
        </w:rPr>
        <w:t xml:space="preserve">Initialisation</w:t>
      </w:r>
    </w:p>
    <w:tbl>
      <w:tblPr>
        <w:tblStyle w:val="Table9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5"/>
        <w:gridCol w:w="5055"/>
        <w:tblGridChange w:id="0">
          <w:tblGrid>
            <w:gridCol w:w="5385"/>
            <w:gridCol w:w="50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jc w:val="left"/>
              <w:rPr>
                <w:i w:val="1"/>
                <w:color w:val="64206b"/>
              </w:rPr>
            </w:pPr>
            <w:r w:rsidDel="00000000" w:rsidR="00000000" w:rsidRPr="00000000">
              <w:rPr>
                <w:rtl w:val="0"/>
              </w:rPr>
              <w:t xml:space="preserve">Initialisation : un import des opportunités Sellsy doit-il être fait vers Altior ?</w:t>
              <w:br w:type="textWrapping"/>
            </w:r>
            <w:r w:rsidDel="00000000" w:rsidR="00000000" w:rsidRPr="00000000">
              <w:rPr>
                <w:i w:val="1"/>
                <w:color w:val="64206b"/>
                <w:rtl w:val="0"/>
              </w:rPr>
              <w:t xml:space="preserve">NB technique : si oui le job “opportunityAll” doit être activé (valeur par défaut), sinon il doit être désactivé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Style w:val="Heading2"/>
        <w:rPr>
          <w:b w:val="0"/>
        </w:rPr>
      </w:pPr>
      <w:bookmarkStart w:colFirst="0" w:colLast="0" w:name="_7y48wgnlbtra" w:id="8"/>
      <w:bookmarkEnd w:id="8"/>
      <w:r w:rsidDel="00000000" w:rsidR="00000000" w:rsidRPr="00000000">
        <w:rPr>
          <w:rtl w:val="0"/>
        </w:rPr>
        <w:t xml:space="preserve">Pipeline </w:t>
      </w:r>
      <w:r w:rsidDel="00000000" w:rsidR="00000000" w:rsidRPr="00000000">
        <w:rPr>
          <w:b w:val="0"/>
          <w:rtl w:val="0"/>
        </w:rPr>
        <w:t xml:space="preserve">et étape de déclenchement de la descente de l’affaire dans Altior</w:t>
      </w:r>
    </w:p>
    <w:tbl>
      <w:tblPr>
        <w:tblStyle w:val="Table10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6666666666665"/>
        <w:gridCol w:w="3488.6666666666665"/>
        <w:gridCol w:w="3488.6666666666665"/>
        <w:tblGridChange w:id="0">
          <w:tblGrid>
            <w:gridCol w:w="3488.6666666666665"/>
            <w:gridCol w:w="3488.6666666666665"/>
            <w:gridCol w:w="3488.666666666666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 du pipeline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 de l’étape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Etablissement(s) de rattachement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Style w:val="Heading2"/>
        <w:rPr/>
      </w:pPr>
      <w:bookmarkStart w:colFirst="0" w:colLast="0" w:name="_ly92r4n8k55" w:id="9"/>
      <w:bookmarkEnd w:id="9"/>
      <w:r w:rsidDel="00000000" w:rsidR="00000000" w:rsidRPr="00000000">
        <w:rPr>
          <w:rtl w:val="0"/>
        </w:rPr>
        <w:t xml:space="preserve">Pipeline et étape cible (Sellsy) lors d’ajout devis dans Altior</w:t>
      </w:r>
    </w:p>
    <w:tbl>
      <w:tblPr>
        <w:tblStyle w:val="Table11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33"/>
        <w:gridCol w:w="5233"/>
        <w:tblGridChange w:id="0">
          <w:tblGrid>
            <w:gridCol w:w="5233"/>
            <w:gridCol w:w="52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 du pipeline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 de l’étape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pStyle w:val="Heading2"/>
        <w:rPr/>
      </w:pPr>
      <w:bookmarkStart w:colFirst="0" w:colLast="0" w:name="_fk8otgdklrve" w:id="10"/>
      <w:bookmarkEnd w:id="10"/>
      <w:r w:rsidDel="00000000" w:rsidR="00000000" w:rsidRPr="00000000">
        <w:rPr>
          <w:rtl w:val="0"/>
        </w:rPr>
        <w:t xml:space="preserve">Pipelines et étapes cible (Sellsy) lors d’ajout commande dans Altior</w:t>
      </w:r>
    </w:p>
    <w:tbl>
      <w:tblPr>
        <w:tblStyle w:val="Table12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33"/>
        <w:gridCol w:w="5233"/>
        <w:tblGridChange w:id="0">
          <w:tblGrid>
            <w:gridCol w:w="5233"/>
            <w:gridCol w:w="52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 du pipeline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 de l’étape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pStyle w:val="Heading2"/>
        <w:rPr/>
      </w:pPr>
      <w:bookmarkStart w:colFirst="0" w:colLast="0" w:name="_m1xill1gelv6" w:id="11"/>
      <w:bookmarkEnd w:id="11"/>
      <w:r w:rsidDel="00000000" w:rsidR="00000000" w:rsidRPr="00000000">
        <w:rPr>
          <w:rtl w:val="0"/>
        </w:rPr>
        <w:t xml:space="preserve">Pipelines et étapes cible (Sellsy) lors de la clôture de l’affaire dans Altior</w:t>
      </w:r>
    </w:p>
    <w:tbl>
      <w:tblPr>
        <w:tblStyle w:val="Table13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33"/>
        <w:gridCol w:w="5233"/>
        <w:tblGridChange w:id="0">
          <w:tblGrid>
            <w:gridCol w:w="5233"/>
            <w:gridCol w:w="52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 du pipeline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 de l’étape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20" w:top="720" w:left="720" w:right="720" w:header="708.661417322834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b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ageBreakBefore w:val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Demande de configuration du connecteur Sellsy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venir" w:cs="Avenir" w:eastAsia="Avenir" w:hAnsi="Avenir"/>
        <w:sz w:val="22"/>
        <w:szCs w:val="22"/>
        <w:lang w:val="fr-FR"/>
      </w:rPr>
    </w:rPrDefault>
    <w:pPrDefault>
      <w:pPr>
        <w:spacing w:after="16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auto" w:space="0" w:sz="0" w:val="none"/>
      </w:pBdr>
      <w:spacing w:after="120" w:before="400" w:line="276" w:lineRule="auto"/>
    </w:pPr>
    <w:rPr>
      <w:rFonts w:ascii="Arial" w:cs="Arial" w:eastAsia="Arial" w:hAnsi="Arial"/>
      <w:color w:val="64206b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pBdr>
        <w:bottom w:color="auto" w:space="0" w:sz="0" w:val="none"/>
      </w:pBdr>
      <w:spacing w:after="120" w:before="360" w:line="276" w:lineRule="auto"/>
    </w:pPr>
    <w:rPr>
      <w:rFonts w:ascii="Arial" w:cs="Arial" w:eastAsia="Arial" w:hAnsi="Arial"/>
      <w:color w:val="ff87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pBdr>
        <w:bottom w:color="903163" w:space="1" w:sz="4" w:val="single"/>
      </w:pBdr>
      <w:spacing w:after="240" w:before="240" w:lineRule="auto"/>
      <w:ind w:left="2138" w:hanging="720"/>
    </w:pPr>
    <w:rPr>
      <w:rFonts w:ascii="Cabin" w:cs="Cabin" w:eastAsia="Cabin" w:hAnsi="Cabin"/>
      <w:color w:val="9031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40" w:lineRule="auto"/>
      <w:ind w:left="864" w:hanging="864"/>
    </w:pPr>
    <w:rPr>
      <w:rFonts w:ascii="Cabin" w:cs="Cabin" w:eastAsia="Cabin" w:hAnsi="Cabin"/>
      <w:i w:val="1"/>
      <w:color w:val="390e2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40" w:lineRule="auto"/>
      <w:ind w:left="1008" w:hanging="1008"/>
    </w:pPr>
    <w:rPr>
      <w:rFonts w:ascii="Cabin" w:cs="Cabin" w:eastAsia="Cabin" w:hAnsi="Cabin"/>
      <w:color w:val="390e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40" w:lineRule="auto"/>
      <w:ind w:left="1152" w:hanging="1152"/>
    </w:pPr>
    <w:rPr>
      <w:rFonts w:ascii="Cabin" w:cs="Cabin" w:eastAsia="Cabin" w:hAnsi="Cabin"/>
      <w:color w:val="260919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bin-regular.ttf"/><Relationship Id="rId2" Type="http://schemas.openxmlformats.org/officeDocument/2006/relationships/font" Target="fonts/Cabin-bold.ttf"/><Relationship Id="rId3" Type="http://schemas.openxmlformats.org/officeDocument/2006/relationships/font" Target="fonts/Cabin-italic.ttf"/><Relationship Id="rId4" Type="http://schemas.openxmlformats.org/officeDocument/2006/relationships/font" Target="fonts/Cabi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